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FINANÇAS E ORÇAMENTO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Style w:val="Nenhum"/>
          <w:rFonts w:ascii="Times New Roman" w:hAnsi="Times New Roman"/>
          <w:b/>
          <w:bCs/>
          <w:color w:val="000000"/>
        </w:rPr>
        <w:t>DATA: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16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de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>abril</w:t>
      </w:r>
      <w:r>
        <w:rPr>
          <w:rStyle w:val="Nenhum"/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>de 2026.</w:t>
      </w:r>
      <w:r>
        <w:rPr>
          <w:rStyle w:val="Nenhum"/>
          <w:rFonts w:ascii="Times New Roman" w:hAnsi="Times New Roman"/>
          <w:b w:val="false"/>
          <w:bCs w:val="false"/>
          <w:color w:val="000000"/>
        </w:rPr>
        <w:t xml:space="preserve"> </w:t>
      </w:r>
      <w:r>
        <w:rPr/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10:20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Fonts w:ascii="Times New Roman" w:hAnsi="Times New Roman"/>
          <w:color w:val="000000"/>
          <w:lang w:val="es-ES_tradnl"/>
        </w:rPr>
        <w:t xml:space="preserve">Aos </w:t>
      </w:r>
      <w:r>
        <w:rPr>
          <w:rFonts w:ascii="Times New Roman" w:hAnsi="Times New Roman"/>
          <w:color w:val="000000"/>
          <w:lang w:val="es-ES_tradnl"/>
        </w:rPr>
        <w:t>16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Comissão de F</w:t>
      </w:r>
      <w:r>
        <w:rPr>
          <w:rStyle w:val="Nenhum"/>
          <w:rFonts w:ascii="Times New Roman" w:hAnsi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inanças e Orçamento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 xml:space="preserve">ncia do(a) Vereador(a)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José Jaime Inácio de Oliveira,</w:t>
      </w:r>
      <w:r>
        <w:rPr>
          <w:rFonts w:ascii="Times New Roman" w:hAnsi="Times New Roman"/>
          <w:color w:val="000000"/>
          <w:lang w:val="pt-PT"/>
        </w:rPr>
        <w:t xml:space="preserve">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  <w:r>
        <w:rPr>
          <w:rFonts w:ascii="Times New Roman" w:hAnsi="Times New Roman"/>
          <w:b/>
          <w:bCs/>
          <w:color w:val="000000"/>
        </w:rPr>
        <w:t>: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11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lef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left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PT" w:eastAsia="en-US" w:bidi="ar-SA"/>
        </w:rPr>
        <w:t>EMENTA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:  Dispõe sobre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alteração da Lei Complementar nº 103/2010 e Lei nº 1.650/2017, nas disposições que indicar e dá outra providências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.</w:t>
      </w:r>
    </w:p>
    <w:p>
      <w:pPr>
        <w:pStyle w:val="TableParagraph"/>
        <w:widowControl w:val="false"/>
        <w:suppressAutoHyphens w:val="true"/>
        <w:bidi w:val="0"/>
        <w:spacing w:before="0" w:after="0"/>
        <w:ind w:left="0"/>
        <w:jc w:val="both"/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12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lef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left="0"/>
        <w:jc w:val="both"/>
        <w:rPr>
          <w:sz w:val="24"/>
          <w:szCs w:val="24"/>
        </w:rPr>
      </w:pPr>
      <w:r>
        <w:rPr>
          <w:b w:val="false"/>
          <w:bCs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Promove modificações no anexo único da Lei Complementar nº 188, de 3 de maio de 2013, com redação dada pela Lei Complementar nº 409, de 10 de Janeiro de 2025,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13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lef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left="0"/>
        <w:jc w:val="both"/>
        <w:rPr>
          <w:sz w:val="24"/>
          <w:szCs w:val="24"/>
        </w:rPr>
      </w:pPr>
      <w:r>
        <w:rPr>
          <w:rStyle w:val="Nenhum"/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PT" w:eastAsia="en-US" w:bidi="ar-SA"/>
        </w:rPr>
        <w:t>: Altera a Lei Complementar nº 034, de 29 de dezembro de 2005, para disciplinar a base de cálculo do Imposto Sobre Serviços de Qualquer Natureza (ISSQN) sobre os serviços de publicidade e propaganda,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center"/>
        <w:rPr>
          <w:rStyle w:val="Nenhum"/>
          <w:rFonts w:ascii="Times New Roman" w:hAnsi="Times New Roman"/>
          <w:outline w:val="false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Serra Talhada/PE, </w:t>
      </w:r>
      <w:r>
        <w:rPr>
          <w:rFonts w:ascii="Times New Roman" w:hAnsi="Times New Roman"/>
          <w:color w:val="000000"/>
          <w:lang w:val="pt-PT"/>
        </w:rPr>
        <w:t>16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Normal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JOSÉ JAIME INÁCIO DE OLIVEIRA</w:t>
      </w:r>
    </w:p>
    <w:p>
      <w:pPr>
        <w:pStyle w:val="BlockText"/>
        <w:ind w:left="0" w:right="-1"/>
        <w:jc w:val="center"/>
        <w:rPr/>
      </w:pPr>
      <w:r>
        <w:rPr/>
        <w:t>PRESIDENTE</w:t>
      </w:r>
    </w:p>
    <w:p>
      <w:pPr>
        <w:pStyle w:val="BlockText"/>
        <w:ind w:left="0" w:right="-1"/>
        <w:rPr/>
      </w:pPr>
      <w:r>
        <w:rPr/>
      </w:r>
    </w:p>
    <w:p>
      <w:pPr>
        <w:pStyle w:val="BlockText"/>
        <w:ind w:left="0" w:right="-1"/>
        <w:rPr/>
      </w:pPr>
      <w:r>
        <w:rPr/>
      </w:r>
    </w:p>
    <w:p>
      <w:pPr>
        <w:pStyle w:val="BlockText"/>
        <w:ind w:left="0" w:right="-1"/>
        <w:jc w:val="center"/>
        <w:rPr>
          <w:b/>
        </w:rPr>
      </w:pPr>
      <w:r>
        <w:rPr>
          <w:b/>
        </w:rPr>
        <w:t>ROSIMÉRIO LUIZ ALVES DA COSTA</w:t>
      </w:r>
    </w:p>
    <w:p>
      <w:pPr>
        <w:pStyle w:val="BlockText"/>
        <w:ind w:left="0" w:right="-1"/>
        <w:jc w:val="center"/>
        <w:rPr/>
      </w:pPr>
      <w:r>
        <w:rPr/>
        <w:t>RELATOR</w:t>
      </w:r>
    </w:p>
    <w:p>
      <w:pPr>
        <w:pStyle w:val="BlockText"/>
        <w:ind w:left="0" w:right="-1"/>
        <w:rPr/>
      </w:pPr>
      <w:r>
        <w:rPr/>
      </w:r>
    </w:p>
    <w:p>
      <w:pPr>
        <w:pStyle w:val="BlockText"/>
        <w:ind w:left="0" w:right="-1"/>
        <w:jc w:val="center"/>
        <w:rPr/>
      </w:pPr>
      <w:r>
        <w:rPr/>
      </w:r>
    </w:p>
    <w:p>
      <w:pPr>
        <w:pStyle w:val="Normal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FRANCISCO PINHEIRO DE BARROS</w:t>
      </w:r>
    </w:p>
    <w:p>
      <w:pPr>
        <w:pStyle w:val="Normal"/>
        <w:ind w:right="-1"/>
        <w:jc w:val="center"/>
        <w:rPr>
          <w:sz w:val="24"/>
          <w:szCs w:val="24"/>
        </w:rPr>
      </w:pPr>
      <w:r>
        <w:rPr>
          <w:rStyle w:val="Nenhum"/>
          <w:rFonts w:eastAsia="Times New Roman" w:cs="Times New Roman"/>
          <w:b w:val="false"/>
          <w:bCs w:val="false"/>
          <w:sz w:val="24"/>
          <w:szCs w:val="24"/>
          <w:lang w:val="pt-PT"/>
        </w:rPr>
        <w:t>MEMBRO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qFormat/>
    <w:pPr>
      <w:spacing w:lineRule="exact" w:line="319"/>
      <w:ind w:hanging="0"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paragraph" w:styleId="ListParagraph">
    <w:name w:val="List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val="pt-BR" w:eastAsia="pt-BR"/>
    </w:rPr>
  </w:style>
  <w:style w:type="numbering" w:styleId="Semlistauser" w:default="1">
    <w:name w:val="Sem lista (user)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LibreOffice/25.2.7.2$Windows_X86_64 LibreOffice_project/5cbfd1ab6520636bb5f7b99185aa69bd7456825d</Application>
  <AppVersion>15.0000</AppVersion>
  <Pages>2</Pages>
  <Words>407</Words>
  <Characters>2270</Characters>
  <CharactersWithSpaces>2682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2026-04-15T09:43:52Z</cp:lastPrinted>
  <dcterms:modified xsi:type="dcterms:W3CDTF">2026-04-15T09:44:31Z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